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137F" w:rsidRDefault="006F62DC">
      <w:pPr>
        <w:overflowPunct w:val="0"/>
        <w:adjustRightInd/>
        <w:jc w:val="center"/>
        <w:textAlignment w:val="auto"/>
      </w:pPr>
      <w:bookmarkStart w:id="0" w:name="_GoBack"/>
      <w:bookmarkEnd w:id="0"/>
      <w:r>
        <w:rPr>
          <w:rFonts w:hint="eastAsia"/>
        </w:rPr>
        <w:t>新　　　　　　旧　　　　　　対　　　　　　照　　　　　　表</w:t>
      </w:r>
    </w:p>
    <w:tbl>
      <w:tblPr>
        <w:tblW w:w="14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7428"/>
        <w:gridCol w:w="7426"/>
      </w:tblGrid>
      <w:tr w:rsidR="0043137F">
        <w:trPr>
          <w:jc w:val="center"/>
        </w:trPr>
        <w:tc>
          <w:tcPr>
            <w:tcW w:w="7428" w:type="dxa"/>
            <w:tcBorders>
              <w:top w:val="nil"/>
              <w:left w:val="nil"/>
              <w:bottom w:val="nil"/>
              <w:right w:val="single" w:sz="4" w:space="0" w:color="000000"/>
            </w:tcBorders>
          </w:tcPr>
          <w:p w:rsidR="0043137F" w:rsidRDefault="006F62DC">
            <w:pPr>
              <w:overflowPunct w:val="0"/>
              <w:adjustRightInd/>
              <w:jc w:val="center"/>
              <w:textAlignment w:val="auto"/>
            </w:pPr>
            <w:r>
              <w:rPr>
                <w:rFonts w:hint="eastAsia"/>
              </w:rPr>
              <w:t>新</w:t>
            </w:r>
          </w:p>
          <w:p w:rsidR="0043137F" w:rsidRDefault="006F62DC">
            <w:pPr>
              <w:overflowPunct w:val="0"/>
              <w:adjustRightInd/>
              <w:ind w:leftChars="30" w:left="71" w:rightChars="30" w:right="71" w:firstLineChars="300" w:firstLine="714"/>
              <w:jc w:val="both"/>
              <w:textAlignment w:val="auto"/>
            </w:pPr>
            <w:r>
              <w:rPr>
                <w:rFonts w:hint="eastAsia"/>
              </w:rPr>
              <w:t>職員の退職手当に関する条例（</w:t>
            </w:r>
            <w:r>
              <w:t>抜粋</w:t>
            </w:r>
            <w:r>
              <w:rPr>
                <w:rFonts w:hint="eastAsia"/>
              </w:rPr>
              <w:t>）</w:t>
            </w:r>
          </w:p>
          <w:p w:rsidR="0043137F" w:rsidRDefault="0043137F">
            <w:pPr>
              <w:overflowPunct w:val="0"/>
              <w:adjustRightInd/>
              <w:ind w:leftChars="30" w:left="71" w:rightChars="30" w:right="71"/>
              <w:jc w:val="both"/>
              <w:textAlignment w:val="auto"/>
            </w:pPr>
          </w:p>
        </w:tc>
        <w:tc>
          <w:tcPr>
            <w:tcW w:w="7426" w:type="dxa"/>
            <w:tcBorders>
              <w:top w:val="nil"/>
              <w:left w:val="single" w:sz="4" w:space="0" w:color="000000"/>
              <w:bottom w:val="nil"/>
              <w:right w:val="nil"/>
            </w:tcBorders>
          </w:tcPr>
          <w:p w:rsidR="0043137F" w:rsidRDefault="006F62DC">
            <w:pPr>
              <w:overflowPunct w:val="0"/>
              <w:adjustRightInd/>
              <w:jc w:val="center"/>
              <w:textAlignment w:val="auto"/>
            </w:pPr>
            <w:r>
              <w:rPr>
                <w:rFonts w:hint="eastAsia"/>
              </w:rPr>
              <w:t>旧</w:t>
            </w:r>
          </w:p>
          <w:p w:rsidR="0043137F" w:rsidRDefault="006F62DC">
            <w:pPr>
              <w:overflowPunct w:val="0"/>
              <w:adjustRightInd/>
              <w:ind w:leftChars="30" w:left="71" w:rightChars="30" w:right="71" w:firstLineChars="300" w:firstLine="714"/>
              <w:jc w:val="both"/>
              <w:textAlignment w:val="auto"/>
            </w:pPr>
            <w:r>
              <w:rPr>
                <w:rFonts w:hint="eastAsia"/>
              </w:rPr>
              <w:t>職員の退職手当に関する条例（</w:t>
            </w:r>
            <w:r>
              <w:t>抜粋</w:t>
            </w:r>
            <w:r>
              <w:rPr>
                <w:rFonts w:hint="eastAsia"/>
              </w:rPr>
              <w:t>）</w:t>
            </w:r>
          </w:p>
          <w:p w:rsidR="0043137F" w:rsidRDefault="0043137F">
            <w:pPr>
              <w:overflowPunct w:val="0"/>
              <w:adjustRightInd/>
              <w:ind w:leftChars="30" w:left="71" w:rightChars="30" w:right="71"/>
              <w:jc w:val="both"/>
              <w:textAlignment w:val="auto"/>
            </w:pPr>
          </w:p>
        </w:tc>
      </w:tr>
      <w:tr w:rsidR="0043137F">
        <w:trPr>
          <w:jc w:val="center"/>
        </w:trPr>
        <w:tc>
          <w:tcPr>
            <w:tcW w:w="7428" w:type="dxa"/>
            <w:tcBorders>
              <w:top w:val="nil"/>
              <w:left w:val="nil"/>
              <w:bottom w:val="nil"/>
              <w:right w:val="single" w:sz="4" w:space="0" w:color="000000"/>
            </w:tcBorders>
          </w:tcPr>
          <w:p w:rsidR="0043137F" w:rsidRDefault="006F62DC">
            <w:pPr>
              <w:overflowPunct w:val="0"/>
              <w:adjustRightInd/>
              <w:ind w:leftChars="30" w:left="71" w:rightChars="30" w:right="71" w:firstLineChars="100" w:firstLine="238"/>
              <w:jc w:val="both"/>
              <w:textAlignment w:val="auto"/>
            </w:pPr>
            <w:r>
              <w:rPr>
                <w:rFonts w:hint="eastAsia"/>
              </w:rPr>
              <w:t>（懲戒免職等処分を受けた場合等の退職手当の支給制限）</w:t>
            </w:r>
          </w:p>
        </w:tc>
        <w:tc>
          <w:tcPr>
            <w:tcW w:w="7426" w:type="dxa"/>
            <w:tcBorders>
              <w:top w:val="nil"/>
              <w:left w:val="single" w:sz="4" w:space="0" w:color="000000"/>
              <w:bottom w:val="nil"/>
              <w:right w:val="nil"/>
            </w:tcBorders>
          </w:tcPr>
          <w:p w:rsidR="0043137F" w:rsidRDefault="006F62DC">
            <w:pPr>
              <w:overflowPunct w:val="0"/>
              <w:adjustRightInd/>
              <w:ind w:leftChars="30" w:left="71" w:rightChars="30" w:right="71" w:firstLineChars="100" w:firstLine="238"/>
              <w:jc w:val="both"/>
              <w:textAlignment w:val="auto"/>
            </w:pPr>
            <w:r>
              <w:rPr>
                <w:rFonts w:hint="eastAsia"/>
              </w:rPr>
              <w:t>（懲戒免職等処分を受けた場合等の退職手当の支給制限）</w:t>
            </w:r>
          </w:p>
        </w:tc>
      </w:tr>
      <w:tr w:rsidR="0043137F">
        <w:trPr>
          <w:jc w:val="center"/>
        </w:trPr>
        <w:tc>
          <w:tcPr>
            <w:tcW w:w="7428" w:type="dxa"/>
            <w:tcBorders>
              <w:top w:val="nil"/>
              <w:left w:val="nil"/>
              <w:bottom w:val="nil"/>
              <w:right w:val="single" w:sz="4" w:space="0" w:color="000000"/>
            </w:tcBorders>
          </w:tcPr>
          <w:p w:rsidR="0043137F" w:rsidRDefault="006F62DC">
            <w:pPr>
              <w:overflowPunct w:val="0"/>
              <w:adjustRightInd/>
              <w:ind w:leftChars="30" w:left="309" w:rightChars="30" w:right="71" w:hangingChars="100" w:hanging="238"/>
              <w:jc w:val="both"/>
              <w:textAlignment w:val="auto"/>
            </w:pPr>
            <w:r>
              <w:rPr>
                <w:rFonts w:hint="eastAsia"/>
              </w:rPr>
              <w:t>第12条　退職をした者が次の各号のいずれかに該当するときは、当該退職に係る退職手当管理機関は、当該退職をした者（当該退職をした者が死亡したときは、当該退職に係る一般の退職手当等の額の支払を受ける権利を承継した者）に対し、事情（当該退職をした者が占めていた職の職務及び責任、当該退職をした者の勤務の状況、当該退職をした者が行った非違の内容及び程度、当該非違に至った経緯、当該非違後における当該退職をした者の言動、当該非違が公務の遂行に及ぼす支障の程度並びに当該非違が公務に対する信頼に及ぼす影響をいう。）を勘案して、当該一般の退職手当等の全部又は一部を支給しないこととする処分を行うことができる。</w:t>
            </w:r>
          </w:p>
        </w:tc>
        <w:tc>
          <w:tcPr>
            <w:tcW w:w="7426" w:type="dxa"/>
            <w:tcBorders>
              <w:top w:val="nil"/>
              <w:left w:val="single" w:sz="4" w:space="0" w:color="000000"/>
              <w:bottom w:val="nil"/>
              <w:right w:val="nil"/>
            </w:tcBorders>
          </w:tcPr>
          <w:p w:rsidR="0043137F" w:rsidRDefault="006F62DC">
            <w:pPr>
              <w:overflowPunct w:val="0"/>
              <w:adjustRightInd/>
              <w:ind w:leftChars="30" w:left="309" w:rightChars="30" w:right="71" w:hangingChars="100" w:hanging="238"/>
              <w:jc w:val="both"/>
              <w:textAlignment w:val="auto"/>
            </w:pPr>
            <w:r>
              <w:rPr>
                <w:rFonts w:hint="eastAsia"/>
              </w:rPr>
              <w:t>第12条　退職をした者が次の各号のいずれかに該当するときは、当該退職に係る退職手当管理機関は、当該退職をした者（当該退職をした者が死亡したときは、当該退職に係る一般の退職手当等の額の支払を受ける権利を承継した者）に対し、事情（当該退職をした者が占めていた職の職務及び責任、当該退職をした者の勤務の状況、当該退職をした者が行った非違の内容及び程度、当該非違に至った経緯、当該非違後における当該退職をした者の言動、当該非違が公務の遂行に及ぼす支障の程度並びに当該非違が公務に対する信頼に及ぼす影響をいう。）を勘案して、当該一般の退職手当等の全部又は一部を支給しないこととする処分を行うことができる。</w:t>
            </w:r>
          </w:p>
        </w:tc>
      </w:tr>
      <w:tr w:rsidR="0043137F">
        <w:trPr>
          <w:jc w:val="center"/>
        </w:trPr>
        <w:tc>
          <w:tcPr>
            <w:tcW w:w="7428" w:type="dxa"/>
            <w:tcBorders>
              <w:top w:val="nil"/>
              <w:left w:val="nil"/>
              <w:bottom w:val="nil"/>
              <w:right w:val="single" w:sz="4" w:space="0" w:color="000000"/>
            </w:tcBorders>
          </w:tcPr>
          <w:p w:rsidR="0043137F" w:rsidRDefault="006F62DC">
            <w:pPr>
              <w:overflowPunct w:val="0"/>
              <w:adjustRightInd/>
              <w:ind w:leftChars="30" w:left="71" w:rightChars="30" w:right="71" w:firstLineChars="100" w:firstLine="238"/>
              <w:jc w:val="both"/>
              <w:textAlignment w:val="auto"/>
            </w:pPr>
            <w:r>
              <w:rPr>
                <w:rFonts w:hint="eastAsia"/>
              </w:rPr>
              <w:t>(１)　懲戒免職等処分を受けて退職をした者</w:t>
            </w:r>
          </w:p>
        </w:tc>
        <w:tc>
          <w:tcPr>
            <w:tcW w:w="7426" w:type="dxa"/>
            <w:tcBorders>
              <w:top w:val="nil"/>
              <w:left w:val="single" w:sz="4" w:space="0" w:color="000000"/>
              <w:bottom w:val="nil"/>
              <w:right w:val="nil"/>
            </w:tcBorders>
          </w:tcPr>
          <w:p w:rsidR="0043137F" w:rsidRDefault="006F62DC">
            <w:pPr>
              <w:overflowPunct w:val="0"/>
              <w:adjustRightInd/>
              <w:ind w:leftChars="30" w:left="71" w:rightChars="30" w:right="71" w:firstLineChars="100" w:firstLine="238"/>
              <w:jc w:val="both"/>
              <w:textAlignment w:val="auto"/>
            </w:pPr>
            <w:r>
              <w:rPr>
                <w:rFonts w:hint="eastAsia"/>
              </w:rPr>
              <w:t>(１)　懲戒免職等処分を受けて退職をした者</w:t>
            </w:r>
          </w:p>
        </w:tc>
      </w:tr>
      <w:tr w:rsidR="0043137F">
        <w:trPr>
          <w:jc w:val="center"/>
        </w:trPr>
        <w:tc>
          <w:tcPr>
            <w:tcW w:w="7428" w:type="dxa"/>
            <w:tcBorders>
              <w:top w:val="nil"/>
              <w:left w:val="nil"/>
              <w:bottom w:val="nil"/>
              <w:right w:val="single" w:sz="4" w:space="0" w:color="000000"/>
            </w:tcBorders>
          </w:tcPr>
          <w:p w:rsidR="0043137F" w:rsidRDefault="006F62DC">
            <w:pPr>
              <w:overflowPunct w:val="0"/>
              <w:adjustRightInd/>
              <w:ind w:leftChars="130" w:left="547" w:rightChars="30" w:right="71" w:hangingChars="100" w:hanging="238"/>
              <w:jc w:val="both"/>
              <w:textAlignment w:val="auto"/>
            </w:pPr>
            <w:r>
              <w:rPr>
                <w:rFonts w:hint="eastAsia"/>
              </w:rPr>
              <w:t>(２)　地方公務員法第28条第４項の規定による失職又はこれに準ずる退職をした者</w:t>
            </w:r>
          </w:p>
        </w:tc>
        <w:tc>
          <w:tcPr>
            <w:tcW w:w="7426" w:type="dxa"/>
            <w:tcBorders>
              <w:top w:val="nil"/>
              <w:left w:val="single" w:sz="4" w:space="0" w:color="000000"/>
              <w:bottom w:val="nil"/>
              <w:right w:val="nil"/>
            </w:tcBorders>
          </w:tcPr>
          <w:p w:rsidR="0043137F" w:rsidRDefault="006F62DC">
            <w:pPr>
              <w:overflowPunct w:val="0"/>
              <w:adjustRightInd/>
              <w:ind w:leftChars="130" w:left="547" w:rightChars="30" w:right="71" w:hangingChars="100" w:hanging="238"/>
              <w:jc w:val="both"/>
              <w:textAlignment w:val="auto"/>
            </w:pPr>
            <w:r>
              <w:rPr>
                <w:rFonts w:hint="eastAsia"/>
              </w:rPr>
              <w:t>(２)　地方公務員法第28条第４項の規定による失職</w:t>
            </w:r>
            <w:r>
              <w:rPr>
                <w:rFonts w:hint="eastAsia"/>
                <w:u w:val="single"/>
              </w:rPr>
              <w:t>（同法第16条第１号に該当する場合を除く。）</w:t>
            </w:r>
            <w:r>
              <w:rPr>
                <w:rFonts w:hint="eastAsia"/>
              </w:rPr>
              <w:t>又はこれに準ずる退職をした者</w:t>
            </w:r>
          </w:p>
        </w:tc>
      </w:tr>
      <w:tr w:rsidR="0043137F">
        <w:trPr>
          <w:jc w:val="center"/>
        </w:trPr>
        <w:tc>
          <w:tcPr>
            <w:tcW w:w="7428" w:type="dxa"/>
            <w:tcBorders>
              <w:top w:val="nil"/>
              <w:left w:val="nil"/>
              <w:bottom w:val="nil"/>
              <w:right w:val="single" w:sz="4" w:space="0" w:color="000000"/>
            </w:tcBorders>
          </w:tcPr>
          <w:p w:rsidR="0043137F" w:rsidRDefault="006F62DC">
            <w:pPr>
              <w:overflowPunct w:val="0"/>
              <w:adjustRightInd/>
              <w:ind w:leftChars="30" w:left="71" w:rightChars="30" w:right="71"/>
              <w:jc w:val="both"/>
              <w:textAlignment w:val="auto"/>
            </w:pPr>
            <w:r>
              <w:rPr>
                <w:rFonts w:hint="eastAsia"/>
              </w:rPr>
              <w:t>２・３　略</w:t>
            </w:r>
          </w:p>
        </w:tc>
        <w:tc>
          <w:tcPr>
            <w:tcW w:w="7426" w:type="dxa"/>
            <w:tcBorders>
              <w:top w:val="nil"/>
              <w:left w:val="single" w:sz="4" w:space="0" w:color="000000"/>
              <w:bottom w:val="nil"/>
              <w:right w:val="nil"/>
            </w:tcBorders>
          </w:tcPr>
          <w:p w:rsidR="0043137F" w:rsidRDefault="006F62DC">
            <w:pPr>
              <w:overflowPunct w:val="0"/>
              <w:adjustRightInd/>
              <w:ind w:leftChars="30" w:left="71" w:rightChars="30" w:right="71"/>
              <w:jc w:val="both"/>
              <w:textAlignment w:val="auto"/>
            </w:pPr>
            <w:r>
              <w:rPr>
                <w:rFonts w:hint="eastAsia"/>
              </w:rPr>
              <w:t>２・３　略</w:t>
            </w:r>
          </w:p>
        </w:tc>
      </w:tr>
    </w:tbl>
    <w:p w:rsidR="0043137F" w:rsidRDefault="0043137F">
      <w:pPr>
        <w:overflowPunct w:val="0"/>
        <w:adjustRightInd/>
        <w:jc w:val="both"/>
        <w:textAlignment w:val="auto"/>
      </w:pPr>
    </w:p>
    <w:p w:rsidR="0043137F" w:rsidRDefault="006F62DC">
      <w:pPr>
        <w:overflowPunct w:val="0"/>
        <w:adjustRightInd/>
        <w:textAlignment w:val="auto"/>
      </w:pPr>
      <w:r>
        <w:t xml:space="preserve"> </w:t>
      </w:r>
    </w:p>
    <w:sectPr w:rsidR="0043137F">
      <w:headerReference w:type="default" r:id="rId6"/>
      <w:footerReference w:type="default" r:id="rId7"/>
      <w:footnotePr>
        <w:numRestart w:val="eachPage"/>
      </w:footnotePr>
      <w:pgSz w:w="16838" w:h="11906" w:orient="landscape"/>
      <w:pgMar w:top="1134" w:right="1134" w:bottom="1134" w:left="1134" w:header="720" w:footer="720" w:gutter="0"/>
      <w:cols w:space="720"/>
      <w:noEndnote/>
      <w:docGrid w:type="linesAndChars" w:linePitch="385" w:charSpace="36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4DE3" w:rsidRDefault="00BF4DE3">
      <w:r>
        <w:separator/>
      </w:r>
    </w:p>
  </w:endnote>
  <w:endnote w:type="continuationSeparator" w:id="0">
    <w:p w:rsidR="00BF4DE3" w:rsidRDefault="00BF4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notTrueType/>
    <w:pitch w:val="variable"/>
    <w:sig w:usb0="00000000" w:usb1="00000000" w:usb2="00000000" w:usb3="00000000" w:csb0="010082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137F" w:rsidRDefault="0043137F">
    <w:pPr>
      <w:textAlignment w:val="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4DE3" w:rsidRDefault="00BF4DE3">
      <w:r>
        <w:separator/>
      </w:r>
    </w:p>
  </w:footnote>
  <w:footnote w:type="continuationSeparator" w:id="0">
    <w:p w:rsidR="00BF4DE3" w:rsidRDefault="00BF4D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137F" w:rsidRDefault="0043137F">
    <w:pPr>
      <w:textAlignment w:val="auto"/>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NotTrackMoves/>
  <w:defaultTabStop w:val="720"/>
  <w:doNotHyphenateCaps/>
  <w:drawingGridHorizontalSpacing w:val="237"/>
  <w:drawingGridVerticalSpacing w:val="385"/>
  <w:displayHorizontalDrawingGridEvery w:val="0"/>
  <w:doNotShadeFormData/>
  <w:noPunctuationKerning/>
  <w:characterSpacingControl w:val="doNotCompress"/>
  <w:hdrShapeDefaults>
    <o:shapedefaults v:ext="edit" spidmax="2049">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137F"/>
    <w:rsid w:val="0037465F"/>
    <w:rsid w:val="0043137F"/>
    <w:rsid w:val="006F62DC"/>
    <w:rsid w:val="00BF4DE3"/>
    <w:rsid w:val="00EE5413"/>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8A34DD60-DF4B-4450-92CF-DDC9BF73E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utoSpaceDE w:val="0"/>
      <w:autoSpaceDN w:val="0"/>
      <w:adjustRightInd w:val="0"/>
      <w:textAlignment w:val="bottom"/>
    </w:pPr>
    <w:rPr>
      <w:rFonts w:ascii="ＭＳ 明朝" w:hAnsi="ＭＳ 明朝"/>
      <w:kern w:val="2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1">
    <w:name w:val="con1"/>
    <w:basedOn w:val="a"/>
    <w:pPr>
      <w:widowControl/>
      <w:autoSpaceDE/>
      <w:autoSpaceDN/>
      <w:adjustRightInd/>
      <w:spacing w:line="336" w:lineRule="atLeast"/>
      <w:ind w:left="600" w:hanging="240"/>
      <w:textAlignment w:val="auto"/>
    </w:pPr>
    <w:rPr>
      <w:rFonts w:ascii="ＭＳ Ｐゴシック" w:eastAsia="ＭＳ Ｐゴシック" w:hAnsi="ＭＳ Ｐゴシック"/>
      <w:sz w:val="24"/>
    </w:rPr>
  </w:style>
  <w:style w:type="paragraph" w:styleId="a3">
    <w:name w:val="header"/>
    <w:basedOn w:val="a"/>
    <w:pPr>
      <w:tabs>
        <w:tab w:val="center" w:pos="4252"/>
        <w:tab w:val="right" w:pos="8504"/>
      </w:tabs>
      <w:snapToGrid w:val="0"/>
    </w:pPr>
  </w:style>
  <w:style w:type="character" w:customStyle="1" w:styleId="a4">
    <w:name w:val="ヘッダー (文字)"/>
    <w:basedOn w:val="a0"/>
    <w:rPr>
      <w:rFonts w:ascii="ＭＳ 明朝" w:hAnsi="ＭＳ 明朝"/>
      <w:color w:val="000000"/>
      <w:sz w:val="22"/>
    </w:rPr>
  </w:style>
  <w:style w:type="paragraph" w:styleId="a5">
    <w:name w:val="footer"/>
    <w:basedOn w:val="a"/>
    <w:pPr>
      <w:tabs>
        <w:tab w:val="center" w:pos="4252"/>
        <w:tab w:val="right" w:pos="8504"/>
      </w:tabs>
      <w:snapToGrid w:val="0"/>
    </w:pPr>
  </w:style>
  <w:style w:type="character" w:customStyle="1" w:styleId="a6">
    <w:name w:val="フッター (文字)"/>
    <w:basedOn w:val="a0"/>
    <w:rPr>
      <w:rFonts w:ascii="ＭＳ 明朝" w:hAnsi="ＭＳ 明朝"/>
      <w:color w:val="000000"/>
      <w:sz w:val="22"/>
    </w:rPr>
  </w:style>
  <w:style w:type="paragraph" w:styleId="a7">
    <w:name w:val="Balloon Text"/>
    <w:basedOn w:val="a"/>
    <w:link w:val="a8"/>
    <w:semiHidden/>
    <w:rPr>
      <w:rFonts w:ascii="Arial" w:eastAsia="ＭＳ ゴシック" w:hAnsi="Arial"/>
      <w:sz w:val="18"/>
    </w:rPr>
  </w:style>
  <w:style w:type="character" w:customStyle="1" w:styleId="a8">
    <w:name w:val="吹き出し (文字)"/>
    <w:basedOn w:val="a0"/>
    <w:link w:val="a7"/>
    <w:rPr>
      <w:rFonts w:ascii="Arial" w:eastAsia="ＭＳ ゴシック" w:hAnsi="Arial"/>
      <w:color w:val="000000"/>
      <w:kern w:val="22"/>
      <w:sz w:val="18"/>
    </w:rPr>
  </w:style>
  <w:style w:type="character" w:customStyle="1" w:styleId="a9">
    <w:name w:val="下線表示スタイル"/>
    <w:basedOn w:val="a0"/>
    <w:rPr>
      <w:u w:val="single"/>
    </w:rPr>
  </w:style>
  <w:style w:type="character" w:styleId="aa">
    <w:name w:val="footnote reference"/>
    <w:basedOn w:val="a0"/>
    <w:semiHidden/>
    <w:rPr>
      <w:vertAlign w:val="superscript"/>
    </w:rPr>
  </w:style>
  <w:style w:type="character" w:styleId="ab">
    <w:name w:val="endnote reference"/>
    <w:basedOn w:val="a0"/>
    <w:semiHidden/>
    <w:rPr>
      <w:vertAlign w:val="superscript"/>
    </w:rPr>
  </w:style>
  <w:style w:type="paragraph" w:customStyle="1" w:styleId="sec0">
    <w:name w:val="sec0"/>
    <w:basedOn w:val="a"/>
    <w:qFormat/>
    <w:pPr>
      <w:autoSpaceDE/>
      <w:autoSpaceDN/>
      <w:adjustRightInd/>
      <w:spacing w:line="336" w:lineRule="atLeast"/>
      <w:ind w:hanging="240"/>
      <w:jc w:val="both"/>
    </w:pPr>
    <w:rPr>
      <w:sz w:val="24"/>
    </w:rPr>
  </w:style>
  <w:style w:type="table" w:styleId="ac">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132</Words>
  <Characters>757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rei-pc51</dc:creator>
  <cp:lastModifiedBy>rei-pc51</cp:lastModifiedBy>
  <cp:revision>2</cp:revision>
  <dcterms:created xsi:type="dcterms:W3CDTF">2019-11-20T05:38:00Z</dcterms:created>
  <dcterms:modified xsi:type="dcterms:W3CDTF">2019-11-20T05:38:00Z</dcterms:modified>
</cp:coreProperties>
</file>